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D4A4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6876D19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34A7906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广西住房和城乡建设信息中心</w:t>
      </w:r>
    </w:p>
    <w:p w14:paraId="498DBE9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舆情监测服务项目询价函</w:t>
      </w:r>
    </w:p>
    <w:p w14:paraId="1A88C9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25C6950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t>各有关单位：</w:t>
      </w:r>
    </w:p>
    <w:p w14:paraId="6D7353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为进一步提升网络舆情监测预警和应急处置能力，及时、准确、全面地掌握住建行业网络舆情动态，防范化解重大舆情风险，我单位决定采购广西壮族自治区住房和城乡建设信息中心舆情监测服务。现就项目采购服务需求进行询价，项目基本情况和要求如下：</w:t>
      </w:r>
    </w:p>
    <w:p w14:paraId="5F3629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一、询价人</w:t>
      </w:r>
    </w:p>
    <w:p w14:paraId="08F85D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广西壮族自治区住房和城乡建设信息中心。</w:t>
      </w:r>
    </w:p>
    <w:p w14:paraId="1B8399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二、项目名称</w:t>
      </w:r>
    </w:p>
    <w:p w14:paraId="3D6246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广西壮族自治区住房和城乡建设信息中心舆情监测服务项目。</w:t>
      </w:r>
    </w:p>
    <w:p w14:paraId="01BBE5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三、项目预算</w:t>
      </w:r>
    </w:p>
    <w:p w14:paraId="2F9BC2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项目预算总金额不高于25万元。</w:t>
      </w:r>
    </w:p>
    <w:p w14:paraId="36EC73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四、采购项目概况</w:t>
      </w:r>
    </w:p>
    <w:p w14:paraId="4C1FEE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（一）服务内容</w:t>
      </w:r>
    </w:p>
    <w:p w14:paraId="4E55A8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1.服务范围：</w:t>
      </w:r>
    </w:p>
    <w:p w14:paraId="71E30E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（1）涵盖全网涉住建行业的新闻网站、论坛、博客、微信公众号、短视频平台（含字幕/音频识别）、数字报、问答社区等主要信源。</w:t>
      </w:r>
    </w:p>
    <w:p w14:paraId="78E64D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（2）提供“系统监测+人工服务+应急处置”的全流程舆情管理服务。</w:t>
      </w:r>
    </w:p>
    <w:p w14:paraId="611B36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（3）包含舆情监测系统账号、专职人工监测、各类舆情报告编制、突发舆情支持及专业培训。</w:t>
      </w:r>
    </w:p>
    <w:p w14:paraId="504C0B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2.服务期限：2026年6月26日—2027年6月25日；</w:t>
      </w:r>
    </w:p>
    <w:p w14:paraId="20E0A4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3.服务质量：满足国家相关法律法规及网络安全要求，确保监测数据准确、预警及时、研判科学。</w:t>
      </w:r>
    </w:p>
    <w:p w14:paraId="5917F2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（二）项目采购服务需求</w:t>
      </w:r>
    </w:p>
    <w:p w14:paraId="52FB2B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1.系统监测服务：提供全网舆情监测系统及视频监测系统账号，支持PC端及手机移动端同步使用，具备实时预警、全文搜索、自定义简报等功能。</w:t>
      </w:r>
    </w:p>
    <w:p w14:paraId="2A9E91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2.人工监测与报告服务：提供专职人员人工坐席服务（每日早7:00至晚23:00），对涉住建行业信息进行人工二次精准筛选、分级分类及实时推送。具体要求如下：</w:t>
      </w:r>
    </w:p>
    <w:p w14:paraId="1D1AAB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《周报》：全年刊发期数不少于52期；</w:t>
      </w:r>
    </w:p>
    <w:p w14:paraId="5A4849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《月报》：全年刊发期数不少于12期；</w:t>
      </w:r>
    </w:p>
    <w:p w14:paraId="6F4453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《半年/年报》：全年刊发期数不少于2期；</w:t>
      </w:r>
    </w:p>
    <w:p w14:paraId="3DB927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《事件专报》：全年刊发期数不少于15期；</w:t>
      </w:r>
    </w:p>
    <w:p w14:paraId="1CEB67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《主题报告》：全年刊发期数不少于2期；</w:t>
      </w:r>
    </w:p>
    <w:p w14:paraId="383FEC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《事件快评》：全年刊发期数不少于20期；</w:t>
      </w:r>
    </w:p>
    <w:p w14:paraId="297014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《事件速报》：全年刊发期数不少于20期。</w:t>
      </w:r>
    </w:p>
    <w:p w14:paraId="01D670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3.应急与培训服务：提供重大突发舆情专项支持服务，并开展1次线下“舆论安全素养”专题培训。</w:t>
      </w:r>
    </w:p>
    <w:p w14:paraId="41AF74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五、其他事项</w:t>
      </w:r>
    </w:p>
    <w:p w14:paraId="2F4270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项目实施过程中产生的所有数据、报告及知识产权归广西壮族自治区住房和城乡建设信息中心所有，未经授权不得给第三方。现公开邀请你单位就上述服务项目进行报价，请于报价截止时间2026年6月</w:t>
      </w:r>
      <w:r>
        <w:rPr>
          <w:rFonts w:hint="eastAsia" w:ascii="Times New Roman" w:hAnsi="Times New Roman" w:cs="Times New Roman"/>
          <w:lang w:val="en-US" w:eastAsia="zh-CN"/>
        </w:rPr>
        <w:t>10</w:t>
      </w:r>
      <w:r>
        <w:rPr>
          <w:rFonts w:hint="default" w:ascii="Times New Roman" w:hAnsi="Times New Roman" w:cs="Times New Roman"/>
        </w:rPr>
        <w:t>日18:00前，将报价文件密封送至广西壮族自治区住房和城乡建设信息中心（南宁市青秀区金湖路58号广西建设大厦1410室）。</w:t>
      </w:r>
    </w:p>
    <w:p w14:paraId="5205E8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联系人：李茜，联系电话：0771-2260196。</w:t>
      </w:r>
    </w:p>
    <w:p w14:paraId="196247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p>
    <w:p w14:paraId="3085D7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附件：1.报价函（格式附后）</w:t>
      </w:r>
    </w:p>
    <w:p w14:paraId="048409E9">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cs="Times New Roman"/>
        </w:rPr>
      </w:pPr>
      <w:r>
        <w:rPr>
          <w:rFonts w:hint="default" w:ascii="Times New Roman" w:hAnsi="Times New Roman" w:cs="Times New Roman"/>
        </w:rPr>
        <w:t>2.服务承诺函（格式附后）</w:t>
      </w:r>
    </w:p>
    <w:p w14:paraId="02CD11E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00650E9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0363021A">
      <w:pPr>
        <w:keepNext w:val="0"/>
        <w:keepLines w:val="0"/>
        <w:pageBreakBefore w:val="0"/>
        <w:widowControl w:val="0"/>
        <w:kinsoku/>
        <w:wordWrap/>
        <w:overflowPunct/>
        <w:topLinePunct w:val="0"/>
        <w:autoSpaceDE/>
        <w:autoSpaceDN/>
        <w:bidi w:val="0"/>
        <w:adjustRightInd/>
        <w:snapToGrid/>
        <w:spacing w:line="590" w:lineRule="exact"/>
        <w:ind w:firstLine="3200" w:firstLineChars="1000"/>
        <w:textAlignment w:val="auto"/>
        <w:rPr>
          <w:rFonts w:hint="default" w:ascii="Times New Roman" w:hAnsi="Times New Roman" w:cs="Times New Roman"/>
        </w:rPr>
      </w:pPr>
      <w:r>
        <w:rPr>
          <w:rFonts w:hint="default" w:ascii="Times New Roman" w:hAnsi="Times New Roman" w:cs="Times New Roman"/>
        </w:rPr>
        <w:t>广西壮族自治区住房和城乡建设信息中心</w:t>
      </w:r>
    </w:p>
    <w:p w14:paraId="40E16B4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2026年6月3日</w:t>
      </w:r>
    </w:p>
    <w:p w14:paraId="21C928A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2A52B49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1166CD0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sectPr>
          <w:footerReference r:id="rId3" w:type="default"/>
          <w:pgSz w:w="11906" w:h="16838"/>
          <w:pgMar w:top="1928" w:right="1417" w:bottom="1814" w:left="1417" w:header="851" w:footer="992" w:gutter="0"/>
          <w:pgNumType w:fmt="decimal"/>
          <w:cols w:space="0" w:num="1"/>
          <w:rtlGutter w:val="0"/>
          <w:docGrid w:type="lines" w:linePitch="312" w:charSpace="0"/>
        </w:sectPr>
      </w:pPr>
    </w:p>
    <w:p w14:paraId="1F60643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附件1</w:t>
      </w:r>
    </w:p>
    <w:p w14:paraId="42C9753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633E861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报价函</w:t>
      </w:r>
    </w:p>
    <w:p w14:paraId="6611666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1E4155B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t>致：广西壮族自治区住房和城乡建设信息中心。</w:t>
      </w:r>
    </w:p>
    <w:p w14:paraId="262038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我单位经慎重考虑，愿意报价以人民币      元（ ¥    ）完成《广西住房和城乡建设信息中心舆情监测服务项目》，并完全履行贵单位所要求的全部服务内容。</w:t>
      </w:r>
    </w:p>
    <w:p w14:paraId="6647F2A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t xml:space="preserve">联系人：             联系电话：        </w:t>
      </w:r>
    </w:p>
    <w:p w14:paraId="7379E18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457DFF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附件：1.营业执照（复印件，加盖单位公章）</w:t>
      </w:r>
    </w:p>
    <w:p w14:paraId="0FDEECD4">
      <w:pPr>
        <w:keepNext w:val="0"/>
        <w:keepLines w:val="0"/>
        <w:pageBreakBefore w:val="0"/>
        <w:widowControl w:val="0"/>
        <w:kinsoku/>
        <w:wordWrap/>
        <w:overflowPunct/>
        <w:topLinePunct w:val="0"/>
        <w:autoSpaceDE/>
        <w:autoSpaceDN/>
        <w:bidi w:val="0"/>
        <w:adjustRightInd/>
        <w:snapToGrid/>
        <w:spacing w:line="590" w:lineRule="exact"/>
        <w:ind w:left="1920" w:leftChars="500" w:hanging="320" w:hangingChars="100"/>
        <w:textAlignment w:val="auto"/>
        <w:rPr>
          <w:rFonts w:hint="default" w:ascii="Times New Roman" w:hAnsi="Times New Roman" w:cs="Times New Roman"/>
        </w:rPr>
      </w:pPr>
      <w:r>
        <w:rPr>
          <w:rFonts w:hint="default" w:ascii="Times New Roman" w:hAnsi="Times New Roman" w:cs="Times New Roman"/>
        </w:rPr>
        <w:t>2.广西住房和城乡建设信息中心舆情监测服务项目实施方案</w:t>
      </w:r>
    </w:p>
    <w:p w14:paraId="56E84246">
      <w:pPr>
        <w:keepNext w:val="0"/>
        <w:keepLines w:val="0"/>
        <w:pageBreakBefore w:val="0"/>
        <w:widowControl w:val="0"/>
        <w:kinsoku/>
        <w:wordWrap/>
        <w:overflowPunct/>
        <w:topLinePunct w:val="0"/>
        <w:autoSpaceDE/>
        <w:autoSpaceDN/>
        <w:bidi w:val="0"/>
        <w:adjustRightInd/>
        <w:snapToGrid/>
        <w:spacing w:line="590" w:lineRule="exact"/>
        <w:ind w:firstLine="1600" w:firstLineChars="500"/>
        <w:textAlignment w:val="auto"/>
        <w:rPr>
          <w:rFonts w:hint="default" w:ascii="Times New Roman" w:hAnsi="Times New Roman" w:cs="Times New Roman"/>
        </w:rPr>
      </w:pPr>
      <w:r>
        <w:rPr>
          <w:rFonts w:hint="default" w:ascii="Times New Roman" w:hAnsi="Times New Roman" w:cs="Times New Roman"/>
        </w:rPr>
        <w:t>3.其他认为需要提供的材料</w:t>
      </w:r>
    </w:p>
    <w:p w14:paraId="358D25D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317A396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0E013F3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5BF65E73">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default" w:ascii="Times New Roman" w:hAnsi="Times New Roman" w:cs="Times New Roman"/>
        </w:rPr>
      </w:pPr>
      <w:r>
        <w:rPr>
          <w:rFonts w:hint="default" w:ascii="Times New Roman" w:hAnsi="Times New Roman" w:cs="Times New Roman"/>
        </w:rPr>
        <w:t>供应商名称（盖章）：</w:t>
      </w:r>
    </w:p>
    <w:p w14:paraId="4D79749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t xml:space="preserve">                                年   月   日</w:t>
      </w:r>
    </w:p>
    <w:p w14:paraId="4F167B4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2B2E244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5B44677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27B35DD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sectPr>
          <w:pgSz w:w="11906" w:h="16838"/>
          <w:pgMar w:top="1928" w:right="1417" w:bottom="1814" w:left="1417" w:header="851" w:footer="992" w:gutter="0"/>
          <w:pgNumType w:fmt="decimal"/>
          <w:cols w:space="0" w:num="1"/>
          <w:rtlGutter w:val="0"/>
          <w:docGrid w:type="lines" w:linePitch="312" w:charSpace="0"/>
        </w:sectPr>
      </w:pPr>
    </w:p>
    <w:p w14:paraId="7FB1634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rPr>
      </w:pPr>
      <w:r>
        <w:rPr>
          <w:rFonts w:hint="default" w:ascii="方正黑体_GBK" w:hAnsi="方正黑体_GBK" w:eastAsia="方正黑体_GBK" w:cs="方正黑体_GBK"/>
        </w:rPr>
        <w:t>附件2</w:t>
      </w:r>
    </w:p>
    <w:p w14:paraId="0FF14CCD">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2D431FF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采购承诺函</w:t>
      </w:r>
    </w:p>
    <w:p w14:paraId="065F697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65BE04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我公司自愿参与贵单位组织的项目采购活动，已理解并接受《广西住房和城乡建设信息中心舆情监测服务项目询价函》的全部内容，严格遵守《中华人民共和国政府采购法》的相关规定，坚守公平竞争，并无条件地遵守本次采购活动各项规定。我们特作一下承诺，以保证在采购过程中无任何违规、违纪行为，若有违反以下情形的，愿意接受采购人、给予相关处罚和法律责任。</w:t>
      </w:r>
    </w:p>
    <w:p w14:paraId="108647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（一）提供虚假材料谋取中标（成交）的；</w:t>
      </w:r>
    </w:p>
    <w:p w14:paraId="1B4F5C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（二）采取不正当手段低毁、排挤其他供应商的；</w:t>
      </w:r>
      <w:bookmarkStart w:id="0" w:name="_GoBack"/>
      <w:bookmarkEnd w:id="0"/>
    </w:p>
    <w:p w14:paraId="67E2B6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（三）与采购人、其他供应商或者采购代理机构恶意串通的；</w:t>
      </w:r>
    </w:p>
    <w:p w14:paraId="76B011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（四）向采购单位或责任人行贿或提供其他不正当利益的；</w:t>
      </w:r>
    </w:p>
    <w:p w14:paraId="251CB4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cs="Times New Roman"/>
        </w:rPr>
      </w:pPr>
      <w:r>
        <w:rPr>
          <w:rFonts w:hint="default" w:ascii="Times New Roman" w:hAnsi="Times New Roman" w:cs="Times New Roman"/>
        </w:rPr>
        <w:t>以上情形一经核查属实，我方愿意承担一切后果，并不再寻求任何旨在减轻或者免除法律责任的辩解。</w:t>
      </w:r>
    </w:p>
    <w:p w14:paraId="6941C1C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5210612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45D83EA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4701A308">
      <w:pPr>
        <w:keepNext w:val="0"/>
        <w:keepLines w:val="0"/>
        <w:pageBreakBefore w:val="0"/>
        <w:widowControl w:val="0"/>
        <w:kinsoku/>
        <w:wordWrap/>
        <w:overflowPunct/>
        <w:topLinePunct w:val="0"/>
        <w:autoSpaceDE/>
        <w:autoSpaceDN/>
        <w:bidi w:val="0"/>
        <w:adjustRightInd/>
        <w:snapToGrid/>
        <w:spacing w:line="590" w:lineRule="exact"/>
        <w:ind w:firstLine="4480" w:firstLineChars="1400"/>
        <w:textAlignment w:val="auto"/>
        <w:rPr>
          <w:rFonts w:hint="default" w:ascii="Times New Roman" w:hAnsi="Times New Roman" w:cs="Times New Roman"/>
        </w:rPr>
      </w:pPr>
      <w:r>
        <w:rPr>
          <w:rFonts w:hint="default" w:ascii="Times New Roman" w:hAnsi="Times New Roman" w:cs="Times New Roman"/>
        </w:rPr>
        <w:t>供应商名称（盖章）：</w:t>
      </w:r>
    </w:p>
    <w:p w14:paraId="7261D1C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年   月  日</w:t>
      </w:r>
    </w:p>
    <w:sectPr>
      <w:pgSz w:w="11906" w:h="16838"/>
      <w:pgMar w:top="1928" w:right="1417" w:bottom="181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C6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4E1CE0">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24E1CE0">
                    <w:pPr>
                      <w:pStyle w:val="2"/>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A51A9"/>
    <w:rsid w:val="1C9C3021"/>
    <w:rsid w:val="213F48CD"/>
    <w:rsid w:val="40585F20"/>
    <w:rsid w:val="4189001E"/>
    <w:rsid w:val="4FF06111"/>
    <w:rsid w:val="6700323E"/>
    <w:rsid w:val="6B286D35"/>
    <w:rsid w:val="6C757CDC"/>
    <w:rsid w:val="6D4640A2"/>
    <w:rsid w:val="6DD93FE6"/>
    <w:rsid w:val="767A6B19"/>
    <w:rsid w:val="7DD1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2025-11-28T02:44:00Z</dcterms:created>
  <dc:creator>Administrator</dc:creator>
  <cp:lastModifiedBy>信息中心收发文</cp:lastModifiedBy>
  <dcterms:modified xsi:type="dcterms:W3CDTF">2026-06-04T00:22:55Z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C9741450F9BF450CA997475519BA07D0_12</vt:lpwstr>
  </property>
  <property fmtid="{D5CDD505-2E9C-101B-9397-08002B2CF9AE}" pid="4" name="KSOTemplateDocerSaveRecord">
    <vt:lpwstr>eyJoZGlkIjoiYWFmMTVlOGRiNTk4YzUwMDE3YzdkZmI4ZDA0ODBmNzIiLCJ1c2VySWQiOiIzMDcxMjYwMTEifQ==</vt:lpwstr>
  </property>
</Properties>
</file>